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images" recolor="t" type="frame"/>
    </v:background>
  </w:background>
  <w:body>
    <w:p w:rsidR="005302AB" w:rsidRDefault="005302AB" w:rsidP="005302AB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7A5270F5" wp14:editId="47C45393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5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5302AB" w:rsidRDefault="005302AB" w:rsidP="005302AB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5302AB" w:rsidRDefault="005302AB" w:rsidP="005302AB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5302AB" w:rsidRDefault="005302AB" w:rsidP="005302AB">
      <w:pPr>
        <w:rPr>
          <w:rFonts w:ascii="Arial" w:hAnsi="Arial" w:cs="Arial"/>
          <w:b/>
          <w:color w:val="FF0000"/>
          <w:sz w:val="24"/>
          <w:szCs w:val="24"/>
        </w:rPr>
      </w:pP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5302AB" w:rsidRDefault="005302AB" w:rsidP="005302A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Mari</w:t>
      </w: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 xml:space="preserve"> Eli Saldaña Carrillo</w:t>
      </w: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5302AB" w:rsidRDefault="005302AB" w:rsidP="005302A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5302AB" w:rsidRPr="009F3AEB" w:rsidRDefault="005302AB" w:rsidP="005302A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5302A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5302A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Primera sesión  </w:t>
      </w:r>
    </w:p>
    <w:p w:rsidR="005302A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5302A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Tercer Parcial</w:t>
      </w:r>
    </w:p>
    <w:p w:rsidR="005302A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5302AB" w:rsidRDefault="005302AB" w:rsidP="005302A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5302AB" w:rsidRDefault="005302AB" w:rsidP="005302A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“</w:t>
      </w:r>
      <w:bookmarkStart w:id="0" w:name="_GoBack"/>
      <w:r>
        <w:rPr>
          <w:rFonts w:ascii="Arial" w:hAnsi="Arial" w:cs="Arial"/>
          <w:b/>
          <w:color w:val="000000" w:themeColor="text1"/>
          <w:sz w:val="28"/>
          <w:szCs w:val="28"/>
        </w:rPr>
        <w:t>reporte de la lectura once ideas clave para responder a once cuestiones en torno a las competencias</w:t>
      </w:r>
      <w:bookmarkEnd w:id="0"/>
      <w:r>
        <w:rPr>
          <w:rFonts w:ascii="Arial" w:hAnsi="Arial" w:cs="Arial"/>
          <w:b/>
          <w:color w:val="000000" w:themeColor="text1"/>
          <w:sz w:val="28"/>
          <w:szCs w:val="28"/>
        </w:rPr>
        <w:t>”</w:t>
      </w:r>
    </w:p>
    <w:p w:rsidR="00464C18" w:rsidRDefault="00464C18" w:rsidP="005302AB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464C18" w:rsidRPr="00464C18" w:rsidRDefault="00464C18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El uso del término competencia es una consecuencia de la  necesidad de superar una enseñanza ya que se ha reducido al aprendizaje memorístico de conocimientos hecho que conlleva a la dificultad para que puedan ser aplicados en la vida real </w:t>
      </w:r>
    </w:p>
    <w:p w:rsidR="005302AB" w:rsidRDefault="005302AB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302AB">
        <w:rPr>
          <w:rFonts w:ascii="Arial" w:hAnsi="Arial" w:cs="Arial"/>
          <w:b/>
          <w:color w:val="000000" w:themeColor="text1"/>
          <w:sz w:val="24"/>
          <w:szCs w:val="24"/>
        </w:rPr>
        <w:t>La  competencia, en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5302AB">
        <w:rPr>
          <w:rFonts w:ascii="Arial" w:hAnsi="Arial" w:cs="Arial"/>
          <w:b/>
          <w:color w:val="000000" w:themeColor="text1"/>
          <w:sz w:val="24"/>
          <w:szCs w:val="24"/>
        </w:rPr>
        <w:t>el  á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mbito dela  educación  escolar es la </w:t>
      </w:r>
      <w:r w:rsidRPr="005302AB">
        <w:rPr>
          <w:rFonts w:ascii="Arial" w:hAnsi="Arial" w:cs="Arial"/>
          <w:b/>
          <w:color w:val="000000" w:themeColor="text1"/>
          <w:sz w:val="24"/>
          <w:szCs w:val="24"/>
        </w:rPr>
        <w:t>necesita   cualquier   persona   para   dar respuesta a los problemas a los que se enfrentará a lo largo de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5302AB">
        <w:rPr>
          <w:rFonts w:ascii="Arial" w:hAnsi="Arial" w:cs="Arial"/>
          <w:b/>
          <w:color w:val="000000" w:themeColor="text1"/>
          <w:sz w:val="24"/>
          <w:szCs w:val="24"/>
        </w:rPr>
        <w:t>su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vida. Por lo tanto consistirá en la intervención eficaz en los diferentes ámbitos </w:t>
      </w:r>
      <w:r w:rsidR="00B30244">
        <w:rPr>
          <w:rFonts w:ascii="Arial" w:hAnsi="Arial" w:cs="Arial"/>
          <w:b/>
          <w:color w:val="000000" w:themeColor="text1"/>
          <w:sz w:val="24"/>
          <w:szCs w:val="24"/>
        </w:rPr>
        <w:t>de la vida mediante acciones que se movilizan al mismo tiempo y de manera interrelacionada con componentes actitudinales, procedimentales y conceptuales.</w:t>
      </w:r>
    </w:p>
    <w:p w:rsidR="00630732" w:rsidRDefault="00630732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Las competencias y los conocimientos no son antagónicos puesto que en cualquier situación competente implica el uso de conocimientos interrelacionados con las habilidades y actitudes </w:t>
      </w:r>
    </w:p>
    <w:p w:rsidR="00B30244" w:rsidRDefault="00B30244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30244">
        <w:rPr>
          <w:rFonts w:ascii="Arial" w:hAnsi="Arial" w:cs="Arial"/>
          <w:b/>
          <w:color w:val="000000" w:themeColor="text1"/>
          <w:sz w:val="24"/>
          <w:szCs w:val="24"/>
        </w:rPr>
        <w:t>Para poder decidir qué competencias son objeto dela educación, el paso previo es definir cuáles deb</w:t>
      </w:r>
      <w:r w:rsidR="00630732">
        <w:rPr>
          <w:rFonts w:ascii="Arial" w:hAnsi="Arial" w:cs="Arial"/>
          <w:b/>
          <w:color w:val="000000" w:themeColor="text1"/>
          <w:sz w:val="24"/>
          <w:szCs w:val="24"/>
        </w:rPr>
        <w:t xml:space="preserve">en  ser  sus  finalidades. Pueden </w:t>
      </w:r>
      <w:r w:rsidRPr="00B30244">
        <w:rPr>
          <w:rFonts w:ascii="Arial" w:hAnsi="Arial" w:cs="Arial"/>
          <w:b/>
          <w:color w:val="000000" w:themeColor="text1"/>
          <w:sz w:val="24"/>
          <w:szCs w:val="24"/>
        </w:rPr>
        <w:t>contribuir al</w:t>
      </w:r>
      <w:r w:rsidR="0063073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30244">
        <w:rPr>
          <w:rFonts w:ascii="Arial" w:hAnsi="Arial" w:cs="Arial"/>
          <w:b/>
          <w:color w:val="000000" w:themeColor="text1"/>
          <w:sz w:val="24"/>
          <w:szCs w:val="24"/>
        </w:rPr>
        <w:t>pleno desarrollo de</w:t>
      </w:r>
      <w:r w:rsidR="0063073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30244">
        <w:rPr>
          <w:rFonts w:ascii="Arial" w:hAnsi="Arial" w:cs="Arial"/>
          <w:b/>
          <w:color w:val="000000" w:themeColor="text1"/>
          <w:sz w:val="24"/>
          <w:szCs w:val="24"/>
        </w:rPr>
        <w:t>la personalidad en todos los ámbitos de</w:t>
      </w:r>
      <w:r w:rsidR="00630732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30244">
        <w:rPr>
          <w:rFonts w:ascii="Arial" w:hAnsi="Arial" w:cs="Arial"/>
          <w:b/>
          <w:color w:val="000000" w:themeColor="text1"/>
          <w:sz w:val="24"/>
          <w:szCs w:val="24"/>
        </w:rPr>
        <w:t>la vida.</w:t>
      </w:r>
    </w:p>
    <w:p w:rsidR="00630732" w:rsidRDefault="00630732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Las competencias escolares deben abarcar al ámbito social, interpersonal, personal y profesional.</w:t>
      </w:r>
    </w:p>
    <w:p w:rsidR="00B30244" w:rsidRDefault="00630732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El aprendizaje de una competencia implica el mayor grado de significatividad y funcionalidad posible, y para que pueda ser utilizada debe tener sentido la propia competencia y sus componentes procedimentales, actitudinales y conceptuales.</w:t>
      </w:r>
    </w:p>
    <w:p w:rsidR="002D78B6" w:rsidRDefault="002D78B6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El análisis de las competencias se permite concluir que su fundamentación no puede reducirse al conocimiento que aportan los distintos saberes científicos y lo que implica llevar acabo un abordaje educativo que tenga en cuenta el carácter  meta disciplinar de una gran parte del componente.</w:t>
      </w:r>
    </w:p>
    <w:p w:rsidR="002D78B6" w:rsidRDefault="002D78B6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Una enseñanza de competencias para la vida exige la creación de una área específica para todos sus componente de carácter meta disciplinar que permita la reflexión y el estudio teórico y así su aprendizaje sistemático en  todas las áreas.</w:t>
      </w:r>
    </w:p>
    <w:p w:rsidR="002D78B6" w:rsidRDefault="002D78B6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No existe una metodología propia para la enseñanza de las competencias pero si unas condiciones generales de </w:t>
      </w:r>
      <w:r w:rsidR="00522B83">
        <w:rPr>
          <w:rFonts w:ascii="Arial" w:hAnsi="Arial" w:cs="Arial"/>
          <w:b/>
          <w:color w:val="000000" w:themeColor="text1"/>
          <w:sz w:val="24"/>
          <w:szCs w:val="24"/>
        </w:rPr>
        <w:t>cómo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deben ser las estrategias </w:t>
      </w:r>
      <w:r w:rsidR="00522B83">
        <w:rPr>
          <w:rFonts w:ascii="Arial" w:hAnsi="Arial" w:cs="Arial"/>
          <w:b/>
          <w:color w:val="000000" w:themeColor="text1"/>
          <w:sz w:val="24"/>
          <w:szCs w:val="24"/>
        </w:rPr>
        <w:t>metodológicas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22B83">
        <w:rPr>
          <w:rFonts w:ascii="Arial" w:hAnsi="Arial" w:cs="Arial"/>
          <w:b/>
          <w:color w:val="000000" w:themeColor="text1"/>
          <w:sz w:val="24"/>
          <w:szCs w:val="24"/>
        </w:rPr>
        <w:t>y las que todas deben tener un enfoque globalizador</w:t>
      </w:r>
    </w:p>
    <w:p w:rsidR="00522B83" w:rsidRDefault="00522B83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Conocer el grado de dominio que el alumnado ha adquirido de una competencia es una tarea compleja que implica a partir de situaciones-problema que simulen contextos reales y disponer medios de evaluación específico para cada uno de los componentes de la competencia.</w:t>
      </w:r>
    </w:p>
    <w:p w:rsidR="00522B83" w:rsidRDefault="00522B83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522B83" w:rsidRDefault="00522B83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Preguntas:</w:t>
      </w:r>
    </w:p>
    <w:p w:rsidR="00F90F19" w:rsidRDefault="00F90F19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¿Qué es una competencia?</w:t>
      </w:r>
    </w:p>
    <w:p w:rsidR="00F90F19" w:rsidRDefault="00F90F19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¿Qué es una competencia en el ámbito de la educación escolar?</w:t>
      </w:r>
    </w:p>
    <w:p w:rsidR="00522B83" w:rsidRDefault="00F90F19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90F19">
        <w:rPr>
          <w:rFonts w:ascii="Arial" w:hAnsi="Arial" w:cs="Arial"/>
          <w:b/>
          <w:color w:val="000000" w:themeColor="text1"/>
          <w:sz w:val="24"/>
          <w:szCs w:val="24"/>
        </w:rPr>
        <w:t xml:space="preserve">Para poder decidir qué competencias son objeto dela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educación ¿Qué paso se hace?</w:t>
      </w:r>
    </w:p>
    <w:p w:rsidR="00522B83" w:rsidRDefault="00522B83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¿Qué deben abarcar las competencias escolares?</w:t>
      </w:r>
    </w:p>
    <w:p w:rsidR="00522B83" w:rsidRDefault="00522B83" w:rsidP="005302AB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¿Qué exige una enseñanza de competencias para la vida?</w:t>
      </w:r>
    </w:p>
    <w:p w:rsidR="00FD7D4E" w:rsidRDefault="00FD7D4E"/>
    <w:sectPr w:rsidR="00FD7D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35"/>
    <w:rsid w:val="002D78B6"/>
    <w:rsid w:val="00464C18"/>
    <w:rsid w:val="00522B83"/>
    <w:rsid w:val="005302AB"/>
    <w:rsid w:val="00630732"/>
    <w:rsid w:val="006A5176"/>
    <w:rsid w:val="006C7555"/>
    <w:rsid w:val="00996435"/>
    <w:rsid w:val="00B30244"/>
    <w:rsid w:val="00F90F19"/>
    <w:rsid w:val="00FD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593FCA-7BBF-456A-B3D6-D40BBAF0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2AB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osvaldo</dc:creator>
  <cp:lastModifiedBy>H-P</cp:lastModifiedBy>
  <cp:revision>2</cp:revision>
  <dcterms:created xsi:type="dcterms:W3CDTF">2015-10-31T08:30:00Z</dcterms:created>
  <dcterms:modified xsi:type="dcterms:W3CDTF">2015-10-31T08:30:00Z</dcterms:modified>
</cp:coreProperties>
</file>